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 w:cs="Times New Roman"/>
          <w:w w:val="90"/>
          <w:sz w:val="44"/>
          <w:szCs w:val="44"/>
        </w:rPr>
      </w:pPr>
      <w:r>
        <w:rPr>
          <w:rFonts w:ascii="方正小标宋简体" w:hAnsi="仿宋" w:eastAsia="方正小标宋简体" w:cs="Times New Roman"/>
          <w:w w:val="90"/>
          <w:sz w:val="44"/>
          <w:szCs w:val="44"/>
        </w:rPr>
        <w:t>广东工贸职业技术</w:t>
      </w:r>
      <w:r>
        <w:rPr>
          <w:rFonts w:hint="eastAsia" w:ascii="方正小标宋简体" w:hAnsi="仿宋" w:eastAsia="方正小标宋简体" w:cs="Times New Roman"/>
          <w:w w:val="90"/>
          <w:sz w:val="44"/>
          <w:szCs w:val="44"/>
        </w:rPr>
        <w:t>学院</w:t>
      </w:r>
      <w:r>
        <w:rPr>
          <w:rFonts w:ascii="方正小标宋简体" w:hAnsi="仿宋" w:eastAsia="方正小标宋简体" w:cs="Times New Roman"/>
          <w:w w:val="90"/>
          <w:sz w:val="44"/>
          <w:szCs w:val="44"/>
        </w:rPr>
        <w:t>国</w:t>
      </w:r>
      <w:r>
        <w:rPr>
          <w:rFonts w:hint="eastAsia" w:ascii="方正小标宋简体" w:hAnsi="仿宋" w:eastAsia="方正小标宋简体" w:cs="Times New Roman"/>
          <w:w w:val="90"/>
          <w:sz w:val="44"/>
          <w:szCs w:val="44"/>
        </w:rPr>
        <w:t>（境）外学习交流</w:t>
      </w:r>
    </w:p>
    <w:p>
      <w:pPr>
        <w:spacing w:line="600" w:lineRule="exact"/>
        <w:jc w:val="center"/>
        <w:rPr>
          <w:rFonts w:ascii="方正小标宋简体" w:hAnsi="仿宋" w:eastAsia="方正小标宋简体" w:cs="Times New Roman"/>
          <w:w w:val="9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w w:val="90"/>
          <w:sz w:val="44"/>
          <w:szCs w:val="44"/>
        </w:rPr>
        <w:t>学生专项奖学金管理办法</w:t>
      </w:r>
    </w:p>
    <w:p>
      <w:pPr>
        <w:numPr>
          <w:numId w:val="0"/>
        </w:numPr>
        <w:ind w:left="630" w:leftChars="0"/>
        <w:jc w:val="both"/>
        <w:rPr>
          <w:rFonts w:hint="eastAsia" w:ascii="仿宋_GB2312" w:hAnsi="Tahoma" w:eastAsia="仿宋_GB2312" w:cs="Tahoma"/>
          <w:b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为适应学校国际化办学需要，充分调动学生赴国（境）外学习交流和深造的积极性，有效开拓学生国际视野，学校特设立国（境）外学习交流学生专项奖学金，并制定本办法。</w:t>
      </w:r>
    </w:p>
    <w:p>
      <w:pPr>
        <w:pStyle w:val="7"/>
        <w:numPr>
          <w:ilvl w:val="0"/>
          <w:numId w:val="1"/>
        </w:numPr>
        <w:ind w:left="0" w:firstLine="640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学校根据每年学生奖励资金预算情况，安排国（境）外学习交流学生专项奖学金（以下简称奖学金），同时接受社会专项资助。</w:t>
      </w:r>
    </w:p>
    <w:p>
      <w:pPr>
        <w:pStyle w:val="7"/>
        <w:numPr>
          <w:ilvl w:val="0"/>
          <w:numId w:val="1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奖励对象</w:t>
      </w:r>
    </w:p>
    <w:p>
      <w:pPr>
        <w:ind w:firstLine="640" w:firstLineChars="20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奖学金奖励对象为学院全日制在校学生。</w:t>
      </w:r>
    </w:p>
    <w:p>
      <w:pPr>
        <w:pStyle w:val="7"/>
        <w:numPr>
          <w:ilvl w:val="0"/>
          <w:numId w:val="1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奖励范围</w:t>
      </w:r>
    </w:p>
    <w:p>
      <w:pPr>
        <w:ind w:firstLine="640" w:firstLineChars="200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经学校同意派出参加上级主管部门或学校组织的国（境）外学习交流项目的学生（学习时间为三个月及以上）。</w:t>
      </w:r>
    </w:p>
    <w:p>
      <w:pPr>
        <w:pStyle w:val="7"/>
        <w:numPr>
          <w:ilvl w:val="0"/>
          <w:numId w:val="1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奖励基本条件</w:t>
      </w:r>
    </w:p>
    <w:p>
      <w:pPr>
        <w:pStyle w:val="7"/>
        <w:numPr>
          <w:ilvl w:val="0"/>
          <w:numId w:val="2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热爱社会主义祖国，拥护中国共产党的领导；</w:t>
      </w:r>
    </w:p>
    <w:p>
      <w:pPr>
        <w:pStyle w:val="7"/>
        <w:numPr>
          <w:ilvl w:val="0"/>
          <w:numId w:val="2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自觉遵守宪法和法律，遵守学校及境外学习交流院校各项规章制度；</w:t>
      </w:r>
    </w:p>
    <w:p>
      <w:pPr>
        <w:pStyle w:val="7"/>
        <w:numPr>
          <w:ilvl w:val="0"/>
          <w:numId w:val="2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严于律己，诚实守信，道德品质优良；</w:t>
      </w:r>
    </w:p>
    <w:p>
      <w:pPr>
        <w:pStyle w:val="7"/>
        <w:numPr>
          <w:ilvl w:val="0"/>
          <w:numId w:val="2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在校期间成绩良好，赴国（境）外学习交流前一学年的成绩平均分为70分及以上，能较好地完成国（境）外学习交流任务，国（境）外学习交流成绩平均分为70分及以上。</w:t>
      </w:r>
    </w:p>
    <w:p>
      <w:pPr>
        <w:pStyle w:val="7"/>
        <w:numPr>
          <w:ilvl w:val="0"/>
          <w:numId w:val="1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奖励标准</w:t>
      </w:r>
    </w:p>
    <w:p>
      <w:pPr>
        <w:ind w:firstLine="640" w:firstLineChars="20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每名学生在校期间，只能获得一次本奖学金奖励。奖学金分为特等奖学金和优秀奖学金。</w:t>
      </w:r>
    </w:p>
    <w:p>
      <w:pPr>
        <w:pStyle w:val="7"/>
        <w:numPr>
          <w:ilvl w:val="0"/>
          <w:numId w:val="3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特等奖学金</w:t>
      </w:r>
    </w:p>
    <w:p>
      <w:pPr>
        <w:ind w:firstLine="640" w:firstLineChars="20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符合奖励条件，综合平均分为90分及以上的，每生奖励不超过5万元（赴欧洲、美洲和澳洲项目）或不超过2万元（赴韩国、日本、东南亚国家和港澳台地区项目）。</w:t>
      </w:r>
    </w:p>
    <w:p>
      <w:pPr>
        <w:pStyle w:val="7"/>
        <w:numPr>
          <w:ilvl w:val="0"/>
          <w:numId w:val="3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优秀奖学金</w:t>
      </w:r>
    </w:p>
    <w:p>
      <w:pPr>
        <w:pStyle w:val="7"/>
        <w:ind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符合奖励条件，综合平均分为70分及以上的，每生奖励不超过1万元（赴欧洲、美洲和澳洲项目）或不超过0.5万元（赴韩国、日本、东南亚国家和港澳台地区项目）。</w:t>
      </w:r>
    </w:p>
    <w:p>
      <w:pPr>
        <w:pStyle w:val="7"/>
        <w:numPr>
          <w:ilvl w:val="0"/>
          <w:numId w:val="3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具体奖励金额以各项目的项目通知为准。</w:t>
      </w:r>
    </w:p>
    <w:p>
      <w:pPr>
        <w:pStyle w:val="7"/>
        <w:numPr>
          <w:ilvl w:val="0"/>
          <w:numId w:val="1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 xml:space="preserve">奖励名额 </w:t>
      </w:r>
    </w:p>
    <w:p>
      <w:pPr>
        <w:ind w:firstLine="640" w:firstLineChars="200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严格按照奖励标准评选，做到宁缺毋滥。获得特等奖学金的学生每年不超过5名，其中赴欧洲、美洲和澳洲项目学生每年不超过2名，赴韩国、日本、东南亚国家和港澳台地区项目的学生每年不超过3名。获得优秀奖学金的学生每年不超过50名，其中赴欧洲、美洲和澳洲项目学生每年不超过10名，赴韩国、日本、东南亚国家和港澳台地区项目的学生每年不超过40名。</w:t>
      </w:r>
    </w:p>
    <w:p>
      <w:pPr>
        <w:pStyle w:val="7"/>
        <w:numPr>
          <w:ilvl w:val="0"/>
          <w:numId w:val="1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评选程序</w:t>
      </w:r>
    </w:p>
    <w:p>
      <w:pPr>
        <w:pStyle w:val="7"/>
        <w:numPr>
          <w:ilvl w:val="0"/>
          <w:numId w:val="4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信息发布：对外交流合作处每年定期发布奖学金申请通知；</w:t>
      </w:r>
    </w:p>
    <w:p>
      <w:pPr>
        <w:pStyle w:val="7"/>
        <w:numPr>
          <w:ilvl w:val="0"/>
          <w:numId w:val="4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申请：凡符合条件的学生，填写《广东工贸职业技术学院国（境）外学习交流学生专项奖学金申请表》（见附件），连同在国（境）外学习交流期间的获奖证书或成果证书等相关材料的复印件，向所在院系提出书面申请；</w:t>
      </w:r>
    </w:p>
    <w:p>
      <w:pPr>
        <w:pStyle w:val="7"/>
        <w:numPr>
          <w:ilvl w:val="0"/>
          <w:numId w:val="4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初审：各院系受理申请，对学生思想及表现情况、行前一学年的在校成绩平均分、境外成绩平均分和综合平均分进行初审，在规定时间内将初审结果报送学生处和教务处；</w:t>
      </w:r>
    </w:p>
    <w:p>
      <w:pPr>
        <w:pStyle w:val="7"/>
        <w:numPr>
          <w:ilvl w:val="0"/>
          <w:numId w:val="4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复审：学生处和教务处分别对学生思想及表现情况和综合平均分进行复审，教务处汇总并排名，将复审结果交对外交流合作处；</w:t>
      </w:r>
    </w:p>
    <w:p>
      <w:pPr>
        <w:pStyle w:val="7"/>
        <w:numPr>
          <w:ilvl w:val="0"/>
          <w:numId w:val="4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终审：对外交流合作处将汇总情况和排名结果进行终审；</w:t>
      </w:r>
    </w:p>
    <w:p>
      <w:pPr>
        <w:pStyle w:val="7"/>
        <w:numPr>
          <w:ilvl w:val="0"/>
          <w:numId w:val="4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公示：对外交流合作处将终审结果报分管校领导审批同意后，将学生名单在全校范围内公示，公示期5个工作日。</w:t>
      </w:r>
    </w:p>
    <w:p>
      <w:pPr>
        <w:pStyle w:val="7"/>
        <w:numPr>
          <w:ilvl w:val="0"/>
          <w:numId w:val="1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实施</w:t>
      </w:r>
    </w:p>
    <w:p>
      <w:pPr>
        <w:pStyle w:val="7"/>
        <w:ind w:firstLine="566" w:firstLineChars="177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对公示无异议的，由对外交流合作处办理奖励手续，由财务处一次性发放至学生个人银行账户。所需经费从学院学生奖学金、其它专项经费和社会专项资助等支出。</w:t>
      </w:r>
    </w:p>
    <w:p>
      <w:pPr>
        <w:pStyle w:val="7"/>
        <w:numPr>
          <w:ilvl w:val="0"/>
          <w:numId w:val="1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评选时间</w:t>
      </w:r>
    </w:p>
    <w:p>
      <w:pPr>
        <w:pStyle w:val="7"/>
        <w:ind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奖学金每学年评选一次，原则上在每学年第一学期第八周前评选完毕。</w:t>
      </w:r>
    </w:p>
    <w:p>
      <w:pPr>
        <w:pStyle w:val="7"/>
        <w:numPr>
          <w:ilvl w:val="0"/>
          <w:numId w:val="1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本办法自发文之日起试行。原《广东工贸职业技术学校学生赴台研习管理办法》中学费减免奖励政策取消。</w:t>
      </w:r>
    </w:p>
    <w:p>
      <w:pPr>
        <w:pStyle w:val="7"/>
        <w:numPr>
          <w:ilvl w:val="0"/>
          <w:numId w:val="1"/>
        </w:numPr>
        <w:ind w:left="0" w:firstLine="640"/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本办法由对外交流合作处负责解释。</w:t>
      </w: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  <w:t>附件：广东工贸职业技术学院国（境）外学习交流学生专项奖学金申请表</w:t>
      </w: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_GB2312" w:hAnsi="Tahoma" w:eastAsia="仿宋_GB2312" w:cs="Tahoma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</w:rPr>
        <w:t>广东工贸职业技术学院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  <w:t>国（境）外</w:t>
      </w: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</w:rPr>
        <w:t>学习交流</w:t>
      </w:r>
    </w:p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</w:rPr>
        <w:t>学生专项</w:t>
      </w:r>
      <w:r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  <w:t>奖学金</w:t>
      </w: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申请表</w:t>
      </w:r>
    </w:p>
    <w:p>
      <w:pPr>
        <w:widowControl/>
        <w:snapToGrid w:val="0"/>
        <w:spacing w:line="600" w:lineRule="exact"/>
        <w:ind w:firstLine="720"/>
        <w:jc w:val="center"/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tbl>
      <w:tblPr>
        <w:tblStyle w:val="5"/>
        <w:tblW w:w="84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992"/>
        <w:gridCol w:w="713"/>
        <w:gridCol w:w="682"/>
        <w:gridCol w:w="159"/>
        <w:gridCol w:w="10"/>
        <w:gridCol w:w="1417"/>
        <w:gridCol w:w="1150"/>
        <w:gridCol w:w="730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本人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\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\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 机</w:t>
            </w:r>
          </w:p>
        </w:tc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项目时间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本人境外交流期间学习成绩</w:t>
            </w:r>
          </w:p>
        </w:tc>
        <w:tc>
          <w:tcPr>
            <w:tcW w:w="6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成绩平均分：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修读课程是否有不及格：有（  ）；无（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8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申请理由（请写明详细出国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交流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期间表现情况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及申请理由，注明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境外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期间曾获何种奖励和资助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，附学习成绩、获奖证书或成果证书复印件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）：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申请人签名：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8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所在院系初审意见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该申请学生：1、思想及表现情况：</w:t>
            </w:r>
          </w:p>
          <w:p>
            <w:pPr>
              <w:widowControl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1920" w:firstLineChars="8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2、行前一学年的在校成绩平均分：</w:t>
            </w:r>
          </w:p>
          <w:p>
            <w:pPr>
              <w:widowControl/>
              <w:ind w:firstLine="1920" w:firstLineChars="8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3、境外成绩平均分：</w:t>
            </w:r>
          </w:p>
          <w:p>
            <w:pPr>
              <w:widowControl/>
              <w:ind w:firstLine="1920" w:firstLineChars="8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4、综合平均分（第2项占30%，第3项占70%）：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经审核，该学生的申请：同意（   ）    不同意（   ）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4347" w:leftChars="1613" w:hanging="960" w:hangingChars="4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签名</w:t>
            </w:r>
          </w:p>
          <w:p>
            <w:pPr>
              <w:widowControl/>
              <w:ind w:left="4347" w:leftChars="1613" w:hanging="960" w:hangingChars="4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4347" w:leftChars="1613" w:hanging="960" w:hangingChars="4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)：</w:t>
            </w:r>
          </w:p>
          <w:p>
            <w:pPr>
              <w:widowControl/>
              <w:ind w:left="4347" w:leftChars="1613" w:hanging="960" w:hangingChars="4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4347" w:leftChars="1613" w:hanging="960" w:hangingChars="4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4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复审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160"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签名</w:t>
            </w:r>
          </w:p>
          <w:p>
            <w:pPr>
              <w:widowControl/>
              <w:ind w:right="1920" w:firstLine="480" w:firstLineChars="20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公章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):</w:t>
            </w:r>
          </w:p>
          <w:p>
            <w:pPr>
              <w:widowControl/>
              <w:ind w:firstLine="480" w:firstLineChars="20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righ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年   月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日    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教务处复审意见：</w:t>
            </w:r>
          </w:p>
          <w:p>
            <w:pPr>
              <w:ind w:left="1875" w:leftChars="550" w:hanging="720" w:hanging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1875" w:leftChars="550" w:hanging="720" w:hanging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1875" w:leftChars="550" w:hanging="720" w:hanging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1875" w:leftChars="550" w:hanging="720" w:hanging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left="1875" w:leftChars="550" w:hanging="720" w:hanging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签名</w:t>
            </w:r>
          </w:p>
          <w:p>
            <w:pPr>
              <w:ind w:left="1875" w:leftChars="550" w:hanging="720" w:hangingChars="3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080" w:firstLineChars="45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(公章):</w:t>
            </w:r>
          </w:p>
          <w:p>
            <w:pPr>
              <w:ind w:firstLine="2400" w:firstLineChars="10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对外交流合作处终审意见：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签名：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（公章）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84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分管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领导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审批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意见：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签名：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  <w:szCs w:val="24"/>
        </w:rPr>
        <w:t>备注：本表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4"/>
        </w:rPr>
        <w:t>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Arial Unicode MS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0C0D"/>
    <w:multiLevelType w:val="multilevel"/>
    <w:tmpl w:val="14AB0C0D"/>
    <w:lvl w:ilvl="0" w:tentative="0">
      <w:start w:val="1"/>
      <w:numFmt w:val="japaneseCounting"/>
      <w:lvlText w:val="（%1）"/>
      <w:lvlJc w:val="left"/>
      <w:pPr>
        <w:ind w:left="228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575" w:hanging="420"/>
      </w:pPr>
    </w:lvl>
    <w:lvl w:ilvl="2" w:tentative="0">
      <w:start w:val="1"/>
      <w:numFmt w:val="lowerRoman"/>
      <w:lvlText w:val="%3."/>
      <w:lvlJc w:val="right"/>
      <w:pPr>
        <w:ind w:left="1995" w:hanging="420"/>
      </w:pPr>
    </w:lvl>
    <w:lvl w:ilvl="3" w:tentative="0">
      <w:start w:val="1"/>
      <w:numFmt w:val="decimal"/>
      <w:lvlText w:val="%4."/>
      <w:lvlJc w:val="left"/>
      <w:pPr>
        <w:ind w:left="2415" w:hanging="420"/>
      </w:pPr>
    </w:lvl>
    <w:lvl w:ilvl="4" w:tentative="0">
      <w:start w:val="1"/>
      <w:numFmt w:val="lowerLetter"/>
      <w:lvlText w:val="%5)"/>
      <w:lvlJc w:val="left"/>
      <w:pPr>
        <w:ind w:left="2835" w:hanging="420"/>
      </w:pPr>
    </w:lvl>
    <w:lvl w:ilvl="5" w:tentative="0">
      <w:start w:val="1"/>
      <w:numFmt w:val="lowerRoman"/>
      <w:lvlText w:val="%6."/>
      <w:lvlJc w:val="right"/>
      <w:pPr>
        <w:ind w:left="3255" w:hanging="420"/>
      </w:pPr>
    </w:lvl>
    <w:lvl w:ilvl="6" w:tentative="0">
      <w:start w:val="1"/>
      <w:numFmt w:val="decimal"/>
      <w:lvlText w:val="%7."/>
      <w:lvlJc w:val="left"/>
      <w:pPr>
        <w:ind w:left="3675" w:hanging="420"/>
      </w:pPr>
    </w:lvl>
    <w:lvl w:ilvl="7" w:tentative="0">
      <w:start w:val="1"/>
      <w:numFmt w:val="lowerLetter"/>
      <w:lvlText w:val="%8)"/>
      <w:lvlJc w:val="left"/>
      <w:pPr>
        <w:ind w:left="4095" w:hanging="420"/>
      </w:pPr>
    </w:lvl>
    <w:lvl w:ilvl="8" w:tentative="0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559334AD"/>
    <w:multiLevelType w:val="multilevel"/>
    <w:tmpl w:val="559334AD"/>
    <w:lvl w:ilvl="0" w:tentative="0">
      <w:start w:val="1"/>
      <w:numFmt w:val="japaneseCounting"/>
      <w:lvlText w:val="第%1条"/>
      <w:lvlJc w:val="left"/>
      <w:pPr>
        <w:ind w:left="735" w:hanging="735"/>
      </w:pPr>
      <w:rPr>
        <w:rFonts w:hint="default" w:ascii="Adobe 仿宋 Std R" w:hAnsi="Adobe 仿宋 Std R" w:eastAsia="Adobe 仿宋 Std R"/>
        <w:b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626A62"/>
    <w:multiLevelType w:val="multilevel"/>
    <w:tmpl w:val="63626A62"/>
    <w:lvl w:ilvl="0" w:tentative="0">
      <w:start w:val="1"/>
      <w:numFmt w:val="japaneseCounting"/>
      <w:lvlText w:val="（%1）"/>
      <w:lvlJc w:val="left"/>
      <w:pPr>
        <w:ind w:left="14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75" w:hanging="420"/>
      </w:pPr>
    </w:lvl>
    <w:lvl w:ilvl="2" w:tentative="0">
      <w:start w:val="1"/>
      <w:numFmt w:val="lowerRoman"/>
      <w:lvlText w:val="%3."/>
      <w:lvlJc w:val="right"/>
      <w:pPr>
        <w:ind w:left="1995" w:hanging="420"/>
      </w:pPr>
    </w:lvl>
    <w:lvl w:ilvl="3" w:tentative="0">
      <w:start w:val="1"/>
      <w:numFmt w:val="decimal"/>
      <w:lvlText w:val="%4."/>
      <w:lvlJc w:val="left"/>
      <w:pPr>
        <w:ind w:left="2415" w:hanging="420"/>
      </w:pPr>
    </w:lvl>
    <w:lvl w:ilvl="4" w:tentative="0">
      <w:start w:val="1"/>
      <w:numFmt w:val="lowerLetter"/>
      <w:lvlText w:val="%5)"/>
      <w:lvlJc w:val="left"/>
      <w:pPr>
        <w:ind w:left="2835" w:hanging="420"/>
      </w:pPr>
    </w:lvl>
    <w:lvl w:ilvl="5" w:tentative="0">
      <w:start w:val="1"/>
      <w:numFmt w:val="lowerRoman"/>
      <w:lvlText w:val="%6."/>
      <w:lvlJc w:val="right"/>
      <w:pPr>
        <w:ind w:left="3255" w:hanging="420"/>
      </w:pPr>
    </w:lvl>
    <w:lvl w:ilvl="6" w:tentative="0">
      <w:start w:val="1"/>
      <w:numFmt w:val="decimal"/>
      <w:lvlText w:val="%7."/>
      <w:lvlJc w:val="left"/>
      <w:pPr>
        <w:ind w:left="3675" w:hanging="420"/>
      </w:pPr>
    </w:lvl>
    <w:lvl w:ilvl="7" w:tentative="0">
      <w:start w:val="1"/>
      <w:numFmt w:val="lowerLetter"/>
      <w:lvlText w:val="%8)"/>
      <w:lvlJc w:val="left"/>
      <w:pPr>
        <w:ind w:left="4095" w:hanging="420"/>
      </w:pPr>
    </w:lvl>
    <w:lvl w:ilvl="8" w:tentative="0">
      <w:start w:val="1"/>
      <w:numFmt w:val="lowerRoman"/>
      <w:lvlText w:val="%9."/>
      <w:lvlJc w:val="right"/>
      <w:pPr>
        <w:ind w:left="4515" w:hanging="420"/>
      </w:pPr>
    </w:lvl>
  </w:abstractNum>
  <w:abstractNum w:abstractNumId="3">
    <w:nsid w:val="765E40C3"/>
    <w:multiLevelType w:val="multilevel"/>
    <w:tmpl w:val="765E40C3"/>
    <w:lvl w:ilvl="0" w:tentative="0">
      <w:start w:val="1"/>
      <w:numFmt w:val="japaneseCounting"/>
      <w:lvlText w:val="（%1）"/>
      <w:lvlJc w:val="left"/>
      <w:pPr>
        <w:ind w:left="14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75" w:hanging="420"/>
      </w:pPr>
    </w:lvl>
    <w:lvl w:ilvl="2" w:tentative="0">
      <w:start w:val="1"/>
      <w:numFmt w:val="lowerRoman"/>
      <w:lvlText w:val="%3."/>
      <w:lvlJc w:val="right"/>
      <w:pPr>
        <w:ind w:left="1995" w:hanging="420"/>
      </w:pPr>
    </w:lvl>
    <w:lvl w:ilvl="3" w:tentative="0">
      <w:start w:val="1"/>
      <w:numFmt w:val="decimal"/>
      <w:lvlText w:val="%4."/>
      <w:lvlJc w:val="left"/>
      <w:pPr>
        <w:ind w:left="2415" w:hanging="420"/>
      </w:pPr>
    </w:lvl>
    <w:lvl w:ilvl="4" w:tentative="0">
      <w:start w:val="1"/>
      <w:numFmt w:val="lowerLetter"/>
      <w:lvlText w:val="%5)"/>
      <w:lvlJc w:val="left"/>
      <w:pPr>
        <w:ind w:left="2835" w:hanging="420"/>
      </w:pPr>
    </w:lvl>
    <w:lvl w:ilvl="5" w:tentative="0">
      <w:start w:val="1"/>
      <w:numFmt w:val="lowerRoman"/>
      <w:lvlText w:val="%6."/>
      <w:lvlJc w:val="right"/>
      <w:pPr>
        <w:ind w:left="3255" w:hanging="420"/>
      </w:pPr>
    </w:lvl>
    <w:lvl w:ilvl="6" w:tentative="0">
      <w:start w:val="1"/>
      <w:numFmt w:val="decimal"/>
      <w:lvlText w:val="%7."/>
      <w:lvlJc w:val="left"/>
      <w:pPr>
        <w:ind w:left="3675" w:hanging="420"/>
      </w:pPr>
    </w:lvl>
    <w:lvl w:ilvl="7" w:tentative="0">
      <w:start w:val="1"/>
      <w:numFmt w:val="lowerLetter"/>
      <w:lvlText w:val="%8)"/>
      <w:lvlJc w:val="left"/>
      <w:pPr>
        <w:ind w:left="4095" w:hanging="420"/>
      </w:pPr>
    </w:lvl>
    <w:lvl w:ilvl="8" w:tentative="0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1F"/>
    <w:rsid w:val="00026524"/>
    <w:rsid w:val="00070035"/>
    <w:rsid w:val="00075A46"/>
    <w:rsid w:val="00090CA0"/>
    <w:rsid w:val="000F77B0"/>
    <w:rsid w:val="001048CA"/>
    <w:rsid w:val="0013153C"/>
    <w:rsid w:val="00143C74"/>
    <w:rsid w:val="001774AA"/>
    <w:rsid w:val="00197E32"/>
    <w:rsid w:val="001C3B75"/>
    <w:rsid w:val="001D27E5"/>
    <w:rsid w:val="001F1322"/>
    <w:rsid w:val="00203164"/>
    <w:rsid w:val="00221EE3"/>
    <w:rsid w:val="00250CA6"/>
    <w:rsid w:val="002512A3"/>
    <w:rsid w:val="00294814"/>
    <w:rsid w:val="002A48D2"/>
    <w:rsid w:val="002B32BE"/>
    <w:rsid w:val="002D4491"/>
    <w:rsid w:val="00356061"/>
    <w:rsid w:val="00357BDF"/>
    <w:rsid w:val="0037119B"/>
    <w:rsid w:val="003823A5"/>
    <w:rsid w:val="00392EDE"/>
    <w:rsid w:val="00397CFC"/>
    <w:rsid w:val="003F4DFB"/>
    <w:rsid w:val="004159DE"/>
    <w:rsid w:val="004309F2"/>
    <w:rsid w:val="004C258C"/>
    <w:rsid w:val="004E525B"/>
    <w:rsid w:val="00522918"/>
    <w:rsid w:val="0059524D"/>
    <w:rsid w:val="005A00C2"/>
    <w:rsid w:val="005A1AF7"/>
    <w:rsid w:val="005C0127"/>
    <w:rsid w:val="005C36E1"/>
    <w:rsid w:val="005D5CB1"/>
    <w:rsid w:val="00642714"/>
    <w:rsid w:val="00655B1F"/>
    <w:rsid w:val="00690429"/>
    <w:rsid w:val="006946C1"/>
    <w:rsid w:val="006A31ED"/>
    <w:rsid w:val="006B3707"/>
    <w:rsid w:val="006C3B8F"/>
    <w:rsid w:val="006E7336"/>
    <w:rsid w:val="0075065F"/>
    <w:rsid w:val="007A7121"/>
    <w:rsid w:val="007B0A1D"/>
    <w:rsid w:val="007B1C27"/>
    <w:rsid w:val="0081027A"/>
    <w:rsid w:val="008119F3"/>
    <w:rsid w:val="00820182"/>
    <w:rsid w:val="00824743"/>
    <w:rsid w:val="008A020F"/>
    <w:rsid w:val="008C199E"/>
    <w:rsid w:val="008F7AA8"/>
    <w:rsid w:val="0096219A"/>
    <w:rsid w:val="00976107"/>
    <w:rsid w:val="0099709E"/>
    <w:rsid w:val="009E049B"/>
    <w:rsid w:val="009F1A10"/>
    <w:rsid w:val="00A277CB"/>
    <w:rsid w:val="00A64EB4"/>
    <w:rsid w:val="00A76B1D"/>
    <w:rsid w:val="00A83EE4"/>
    <w:rsid w:val="00A87E5A"/>
    <w:rsid w:val="00AD0973"/>
    <w:rsid w:val="00AD53A7"/>
    <w:rsid w:val="00AF5700"/>
    <w:rsid w:val="00B6187D"/>
    <w:rsid w:val="00B828F8"/>
    <w:rsid w:val="00BE06EA"/>
    <w:rsid w:val="00BF2230"/>
    <w:rsid w:val="00C060E3"/>
    <w:rsid w:val="00C57C3A"/>
    <w:rsid w:val="00C773FA"/>
    <w:rsid w:val="00C8054A"/>
    <w:rsid w:val="00C84A3A"/>
    <w:rsid w:val="00C97717"/>
    <w:rsid w:val="00CB1430"/>
    <w:rsid w:val="00D150BB"/>
    <w:rsid w:val="00D22023"/>
    <w:rsid w:val="00D25B06"/>
    <w:rsid w:val="00D501EA"/>
    <w:rsid w:val="00D5227D"/>
    <w:rsid w:val="00D61EAF"/>
    <w:rsid w:val="00DF0B7A"/>
    <w:rsid w:val="00E07452"/>
    <w:rsid w:val="00E520EE"/>
    <w:rsid w:val="00F2047E"/>
    <w:rsid w:val="00F33B70"/>
    <w:rsid w:val="00F441EC"/>
    <w:rsid w:val="00FF069E"/>
    <w:rsid w:val="50277D29"/>
    <w:rsid w:val="7A2351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341</Words>
  <Characters>1948</Characters>
  <Lines>16</Lines>
  <Paragraphs>4</Paragraphs>
  <TotalTime>2</TotalTime>
  <ScaleCrop>false</ScaleCrop>
  <LinksUpToDate>false</LinksUpToDate>
  <CharactersWithSpaces>2285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2018-05-23T00:53:00Z</dcterms:created>
  <dc:creator>刘聪</dc:creator>
  <cp:lastModifiedBy>PetekingInflame</cp:lastModifiedBy>
  <cp:lastPrinted>2018-05-23T07:49:00Z</cp:lastPrinted>
  <dcterms:modified xsi:type="dcterms:W3CDTF">2019-10-11T06:37:01Z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